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</w:rPr>
        <w:t>Fiche d'évaluation - BTS Commerce international à référentiel commun europeen</w:t>
      </w:r>
    </w:p>
    <w:p>
      <w:pPr>
        <w:jc w:val="center"/>
      </w:pPr>
      <w:r>
        <w:rPr>
          <w:i/>
          <w:sz w:val="21"/>
          <w:lang w:val="fr-FR" w:eastAsia="fr-FR" w:bidi="fr-FR"/>
        </w:rPr>
        <w:t>Support évalué : Dossier professionnel | Modalité : À confirmer</w:t>
      </w:r>
    </w:p>
    <w:p>
      <w:pPr>
        <w:jc w:val="center"/>
      </w:pPr>
      <w:r>
        <w:rPr>
          <w:b/>
          <w:color w:val="4F81BD"/>
          <w:lang w:val="fr-FR" w:eastAsia="fr-FR" w:bidi="fr-FR"/>
        </w:rPr>
        <w:t>Fiche inspirée d'une grille publique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3563"/>
        <w:gridCol w:w="3563"/>
        <w:gridCol w:w="3563"/>
        <w:gridCol w:w="3563"/>
      </w:tblGrid>
      <w:tr>
        <w:tc>
          <w:tcPr>
            <w:tcW w:type="dxa" w:w="1814"/>
            <w:vAlign w:val="center"/>
            <w:shd w:fill="D9EAF7"/>
          </w:tcPr>
          <w:p>
            <w:r>
              <w:rPr>
                <w:b/>
                <w:lang w:val="fr-FR" w:eastAsia="fr-FR" w:bidi="fr-FR"/>
              </w:rPr>
              <w:t>BTS</w:t>
            </w:r>
          </w:p>
        </w:tc>
        <w:tc>
          <w:tcPr>
            <w:tcW w:type="dxa" w:w="4535"/>
            <w:vAlign w:val="center"/>
          </w:tcPr>
          <w:p>
            <w:r>
              <w:rPr>
                <w:lang w:val="fr-FR" w:eastAsia="fr-FR" w:bidi="fr-FR"/>
              </w:rPr>
              <w:t>BTS Commerce international à référentiel commun europeen</w:t>
            </w:r>
          </w:p>
        </w:tc>
        <w:tc>
          <w:tcPr>
            <w:tcW w:type="dxa" w:w="1814"/>
            <w:vAlign w:val="center"/>
            <w:shd w:fill="D9EAF7"/>
          </w:tcPr>
          <w:p>
            <w:r>
              <w:rPr>
                <w:b/>
              </w:rPr>
              <w:t>Modalité d'évaluation</w:t>
            </w:r>
          </w:p>
        </w:tc>
        <w:tc>
          <w:tcPr>
            <w:tcW w:type="dxa" w:w="6009"/>
            <w:vAlign w:val="center"/>
          </w:tcPr>
          <w:p>
            <w:r>
              <w:rPr>
                <w:lang w:val="fr-FR" w:eastAsia="fr-FR" w:bidi="fr-FR"/>
              </w:rPr>
              <w:t>À confirmer</w:t>
            </w:r>
          </w:p>
        </w:tc>
      </w:tr>
      <w:tr>
        <w:tc>
          <w:tcPr>
            <w:tcW w:type="dxa" w:w="1814"/>
            <w:vAlign w:val="center"/>
            <w:shd w:fill="D9EAF7"/>
          </w:tcPr>
          <w:p>
            <w:r>
              <w:rPr>
                <w:b/>
                <w:lang w:val="fr-FR" w:eastAsia="fr-FR" w:bidi="fr-FR"/>
              </w:rPr>
              <w:t>Option</w:t>
            </w:r>
          </w:p>
        </w:tc>
        <w:tc>
          <w:tcPr>
            <w:tcW w:type="dxa" w:w="4535"/>
            <w:vAlign w:val="center"/>
          </w:tcPr>
          <w:p>
            <w:r>
              <w:rPr>
                <w:lang w:val="fr-FR" w:eastAsia="fr-FR" w:bidi="fr-FR"/>
              </w:rPr>
              <w:t>Sans option spécifiée</w:t>
            </w:r>
          </w:p>
        </w:tc>
        <w:tc>
          <w:tcPr>
            <w:tcW w:type="dxa" w:w="1814"/>
            <w:vAlign w:val="center"/>
            <w:shd w:fill="D9EAF7"/>
          </w:tcPr>
          <w:p>
            <w:r>
              <w:rPr>
                <w:b w:val="0"/>
              </w:rPr>
            </w:r>
          </w:p>
        </w:tc>
        <w:tc>
          <w:tcPr>
            <w:tcW w:type="dxa" w:w="6009"/>
            <w:vAlign w:val="center"/>
          </w:tcPr>
          <w:p>
            <w:r>
              <w:rPr>
                <w:b w:val="0"/>
              </w:rPr>
            </w:r>
          </w:p>
        </w:tc>
      </w:tr>
      <w:tr>
        <w:tc>
          <w:tcPr>
            <w:tcW w:type="dxa" w:w="1814"/>
            <w:vAlign w:val="center"/>
            <w:shd w:fill="D9EAF7"/>
          </w:tcPr>
          <w:p>
            <w:r>
              <w:rPr>
                <w:b/>
                <w:lang w:val="fr-FR" w:eastAsia="fr-FR" w:bidi="fr-FR"/>
              </w:rPr>
              <w:t>Support</w:t>
            </w:r>
          </w:p>
        </w:tc>
        <w:tc>
          <w:tcPr>
            <w:tcW w:type="dxa" w:w="4535"/>
            <w:vAlign w:val="center"/>
          </w:tcPr>
          <w:p>
            <w:r>
              <w:rPr>
                <w:lang w:val="fr-FR" w:eastAsia="fr-FR" w:bidi="fr-FR"/>
              </w:rPr>
              <w:t>Dossier professionnel</w:t>
            </w:r>
          </w:p>
        </w:tc>
        <w:tc>
          <w:tcPr>
            <w:tcW w:type="dxa" w:w="1814"/>
            <w:vAlign w:val="center"/>
            <w:shd w:fill="D9EAF7"/>
          </w:tcPr>
          <w:p>
            <w:r>
              <w:rPr>
                <w:b/>
                <w:lang w:val="fr-FR" w:eastAsia="fr-FR" w:bidi="fr-FR"/>
              </w:rPr>
              <w:t>Épreuve</w:t>
            </w:r>
          </w:p>
        </w:tc>
        <w:tc>
          <w:tcPr>
            <w:tcW w:type="dxa" w:w="6009"/>
            <w:vAlign w:val="center"/>
          </w:tcPr>
          <w:p>
            <w:r>
              <w:rPr>
                <w:lang w:val="fr-FR" w:eastAsia="fr-FR" w:bidi="fr-FR"/>
              </w:rPr>
              <w:t>U41|U42|U51|U52|U62 | E41 / E42 / E51 / E52 / E62</w:t>
            </w:r>
          </w:p>
        </w:tc>
      </w:tr>
      <w:tr>
        <w:tc>
          <w:tcPr>
            <w:tcW w:type="dxa" w:w="1814"/>
            <w:vAlign w:val="center"/>
            <w:shd w:fill="D9EAF7"/>
          </w:tcPr>
          <w:p>
            <w:r>
              <w:rPr>
                <w:b/>
                <w:lang w:val="fr-FR" w:eastAsia="fr-FR" w:bidi="fr-FR"/>
              </w:rPr>
              <w:t>Voies / modalités</w:t>
            </w:r>
          </w:p>
        </w:tc>
        <w:tc>
          <w:tcPr>
            <w:tcW w:type="dxa" w:w="4535"/>
            <w:vAlign w:val="center"/>
          </w:tcPr>
          <w:p>
            <w:r>
              <w:rPr>
                <w:lang w:val="fr-FR" w:eastAsia="fr-FR" w:bidi="fr-FR"/>
              </w:rPr>
              <w:t>CCF confirmé</w:t>
            </w:r>
          </w:p>
        </w:tc>
        <w:tc>
          <w:tcPr>
            <w:tcW w:type="dxa" w:w="1814"/>
            <w:vAlign w:val="center"/>
            <w:shd w:fill="D9EAF7"/>
          </w:tcPr>
          <w:p>
            <w:r>
              <w:rPr>
                <w:b w:val="0"/>
              </w:rPr>
            </w:r>
          </w:p>
        </w:tc>
        <w:tc>
          <w:tcPr>
            <w:tcW w:type="dxa" w:w="6009"/>
            <w:vAlign w:val="center"/>
          </w:tcPr>
          <w:p>
            <w:r>
              <w:rPr>
                <w:b w:val="0"/>
              </w:rPr>
            </w:r>
          </w:p>
        </w:tc>
      </w:tr>
    </w:tbl>
    <w:p/>
    <w:p>
      <w:r>
        <w:rPr>
          <w:b/>
          <w:lang w:val="fr-FR" w:eastAsia="fr-FR" w:bidi="fr-FR"/>
        </w:rPr>
        <w:t>Échelle de positionnement conseillée</w:t>
      </w:r>
    </w:p>
    <w:tbl>
      <w:tblPr>
        <w:tblStyle w:val="TableGrid"/>
        <w:tblW w:type="auto" w:w="0"/>
        <w:jc w:val="left"/>
        <w:tblLook w:firstColumn="1" w:firstRow="1" w:lastColumn="0" w:lastRow="0" w:noHBand="0" w:noVBand="1" w:val="04A0"/>
      </w:tblPr>
      <w:tblGrid>
        <w:gridCol w:w="3563"/>
        <w:gridCol w:w="3563"/>
        <w:gridCol w:w="3563"/>
        <w:gridCol w:w="3563"/>
      </w:tblGrid>
      <w:tr>
        <w:tc>
          <w:tcPr>
            <w:tcW w:type="dxa" w:w="3563"/>
            <w:shd w:fill="D9EAF7"/>
          </w:tcPr>
          <w:p>
            <w:r>
              <w:rPr>
                <w:b/>
                <w:lang w:val="fr-FR" w:eastAsia="fr-FR" w:bidi="fr-FR"/>
              </w:rPr>
              <w:t>NA</w:t>
            </w:r>
          </w:p>
        </w:tc>
        <w:tc>
          <w:tcPr>
            <w:tcW w:type="dxa" w:w="3563"/>
            <w:shd w:fill="D9EAF7"/>
          </w:tcPr>
          <w:p>
            <w:r>
              <w:rPr>
                <w:b/>
                <w:lang w:val="fr-FR" w:eastAsia="fr-FR" w:bidi="fr-FR"/>
              </w:rPr>
              <w:t>PA</w:t>
            </w:r>
          </w:p>
        </w:tc>
        <w:tc>
          <w:tcPr>
            <w:tcW w:type="dxa" w:w="3563"/>
            <w:shd w:fill="D9EAF7"/>
          </w:tcPr>
          <w:p>
            <w:r>
              <w:rPr>
                <w:b/>
                <w:lang w:val="fr-FR" w:eastAsia="fr-FR" w:bidi="fr-FR"/>
              </w:rPr>
              <w:t>A</w:t>
            </w:r>
          </w:p>
        </w:tc>
        <w:tc>
          <w:tcPr>
            <w:tcW w:type="dxa" w:w="3563"/>
            <w:shd w:fill="D9EAF7"/>
          </w:tcPr>
          <w:p>
            <w:r>
              <w:rPr>
                <w:b/>
                <w:lang w:val="fr-FR" w:eastAsia="fr-FR" w:bidi="fr-FR"/>
              </w:rPr>
              <w:t>TB</w:t>
            </w:r>
          </w:p>
        </w:tc>
      </w:tr>
      <w:tr>
        <w:tc>
          <w:tcPr>
            <w:tcW w:type="dxa" w:w="3563"/>
          </w:tcPr>
          <w:p>
            <w:r>
              <w:rPr>
                <w:lang w:val="fr-FR" w:eastAsia="fr-FR" w:bidi="fr-FR"/>
              </w:rPr>
              <w:t>Non observable / non acquis</w:t>
            </w:r>
          </w:p>
        </w:tc>
        <w:tc>
          <w:tcPr>
            <w:tcW w:type="dxa" w:w="3563"/>
          </w:tcPr>
          <w:p>
            <w:r>
              <w:rPr>
                <w:lang w:val="fr-FR" w:eastAsia="fr-FR" w:bidi="fr-FR"/>
              </w:rPr>
              <w:t>Partiellement acquis</w:t>
            </w:r>
          </w:p>
        </w:tc>
        <w:tc>
          <w:tcPr>
            <w:tcW w:type="dxa" w:w="3563"/>
          </w:tcPr>
          <w:p>
            <w:r>
              <w:rPr>
                <w:lang w:val="fr-FR" w:eastAsia="fr-FR" w:bidi="fr-FR"/>
              </w:rPr>
              <w:t>Acquis</w:t>
            </w:r>
          </w:p>
        </w:tc>
        <w:tc>
          <w:tcPr>
            <w:tcW w:type="dxa" w:w="3563"/>
          </w:tcPr>
          <w:p>
            <w:r>
              <w:rPr>
                <w:lang w:val="fr-FR" w:eastAsia="fr-FR" w:bidi="fr-FR"/>
              </w:rPr>
              <w:t>Très bien acquis</w:t>
            </w:r>
          </w:p>
        </w:tc>
      </w:tr>
    </w:tbl>
    <w:p/>
    <w:p>
      <w:r>
        <w:rPr>
          <w:b/>
          <w:lang w:val="fr-FR" w:eastAsia="fr-FR" w:bidi="fr-FR"/>
        </w:rPr>
        <w:t>Grille d'évaluation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2036"/>
        <w:gridCol w:w="2036"/>
        <w:gridCol w:w="2036"/>
        <w:gridCol w:w="2036"/>
        <w:gridCol w:w="2036"/>
        <w:gridCol w:w="2036"/>
        <w:gridCol w:w="2036"/>
      </w:tblGrid>
      <w:tr>
        <w:trPr>
          <w:tblHeader w:val="true"/>
        </w:trPr>
        <w:tc>
          <w:tcPr>
            <w:tcW w:type="dxa" w:w="3402"/>
            <w:vAlign w:val="center"/>
            <w:shd w:fill="D9EAF7"/>
          </w:tcPr>
          <w:p>
            <w:pPr>
              <w:jc w:val="center"/>
            </w:pPr>
            <w:r>
              <w:rPr>
                <w:b/>
                <w:sz w:val="19"/>
                <w:lang w:val="fr-FR" w:eastAsia="fr-FR" w:bidi="fr-FR"/>
              </w:rPr>
              <w:t>Critère évalué</w:t>
            </w:r>
          </w:p>
        </w:tc>
        <w:tc>
          <w:tcPr>
            <w:tcW w:type="dxa" w:w="4762"/>
            <w:vAlign w:val="center"/>
            <w:shd w:fill="D9EAF7"/>
          </w:tcPr>
          <w:p>
            <w:pPr>
              <w:jc w:val="center"/>
            </w:pPr>
            <w:r>
              <w:rPr>
                <w:b/>
                <w:sz w:val="19"/>
                <w:lang w:val="fr-FR" w:eastAsia="fr-FR" w:bidi="fr-FR"/>
              </w:rPr>
              <w:t>Indicateurs observables / questions d'appui</w:t>
            </w:r>
          </w:p>
        </w:tc>
        <w:tc>
          <w:tcPr>
            <w:tcW w:type="dxa" w:w="510"/>
            <w:vAlign w:val="center"/>
            <w:shd w:fill="D9EAF7"/>
          </w:tcPr>
          <w:p>
            <w:pPr>
              <w:jc w:val="center"/>
            </w:pPr>
            <w:r>
              <w:rPr>
                <w:b/>
                <w:sz w:val="19"/>
                <w:lang w:val="fr-FR" w:eastAsia="fr-FR" w:bidi="fr-FR"/>
              </w:rPr>
              <w:t>NA</w:t>
            </w:r>
          </w:p>
        </w:tc>
        <w:tc>
          <w:tcPr>
            <w:tcW w:type="dxa" w:w="510"/>
            <w:vAlign w:val="center"/>
            <w:shd w:fill="D9EAF7"/>
          </w:tcPr>
          <w:p>
            <w:pPr>
              <w:jc w:val="center"/>
            </w:pPr>
            <w:r>
              <w:rPr>
                <w:b/>
                <w:sz w:val="19"/>
                <w:lang w:val="fr-FR" w:eastAsia="fr-FR" w:bidi="fr-FR"/>
              </w:rPr>
              <w:t>PA</w:t>
            </w:r>
          </w:p>
        </w:tc>
        <w:tc>
          <w:tcPr>
            <w:tcW w:type="dxa" w:w="510"/>
            <w:vAlign w:val="center"/>
            <w:shd w:fill="D9EAF7"/>
          </w:tcPr>
          <w:p>
            <w:pPr>
              <w:jc w:val="center"/>
            </w:pPr>
            <w:r>
              <w:rPr>
                <w:b/>
                <w:sz w:val="19"/>
                <w:lang w:val="fr-FR" w:eastAsia="fr-FR" w:bidi="fr-FR"/>
              </w:rPr>
              <w:t>A</w:t>
            </w:r>
          </w:p>
        </w:tc>
        <w:tc>
          <w:tcPr>
            <w:tcW w:type="dxa" w:w="510"/>
            <w:vAlign w:val="center"/>
            <w:shd w:fill="D9EAF7"/>
          </w:tcPr>
          <w:p>
            <w:pPr>
              <w:jc w:val="center"/>
            </w:pPr>
            <w:r>
              <w:rPr>
                <w:b/>
                <w:sz w:val="19"/>
                <w:lang w:val="fr-FR" w:eastAsia="fr-FR" w:bidi="fr-FR"/>
              </w:rPr>
              <w:t>TB</w:t>
            </w:r>
          </w:p>
        </w:tc>
        <w:tc>
          <w:tcPr>
            <w:tcW w:type="dxa" w:w="3855"/>
            <w:vAlign w:val="center"/>
            <w:shd w:fill="D9EAF7"/>
          </w:tcPr>
          <w:p>
            <w:pPr>
              <w:jc w:val="center"/>
            </w:pPr>
            <w:r>
              <w:rPr>
                <w:b/>
                <w:sz w:val="19"/>
                <w:lang w:val="fr-FR" w:eastAsia="fr-FR" w:bidi="fr-FR"/>
              </w:rPr>
              <w:t>Observations</w:t>
            </w:r>
          </w:p>
        </w:tc>
      </w:tr>
      <w:tr>
        <w:tc>
          <w:tcPr>
            <w:tcW w:type="dxa" w:w="3402"/>
            <w:vAlign w:val="center"/>
          </w:tcPr>
          <w:p>
            <w:pPr>
              <w:spacing w:after="0"/>
            </w:pPr>
            <w:r>
              <w:rPr>
                <w:lang w:val="fr-FR" w:eastAsia="fr-FR" w:bidi="fr-FR"/>
              </w:rPr>
              <w:t>Qualité et conformité du dossier professionnel global</w:t>
            </w:r>
          </w:p>
        </w:tc>
        <w:tc>
          <w:tcPr>
            <w:tcW w:type="dxa" w:w="4762"/>
            <w:vAlign w:val="center"/>
          </w:tcPr>
          <w:p>
            <w:pPr>
              <w:spacing w:after="0"/>
            </w:pPr>
            <w:r>
              <w:rPr>
                <w:lang w:val="fr-FR" w:eastAsia="fr-FR" w:bidi="fr-FR"/>
              </w:rPr>
              <w:t>Support lisible, structuré, cohérent avec l'épreuve et directement exploitable pour l'évaluation.</w:t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3855"/>
            <w:vAlign w:val="center"/>
          </w:tcPr>
          <w:p>
            <w:pPr>
              <w:spacing w:after="0"/>
            </w:pPr>
            <w:r>
              <w:rPr>
                <w:lang w:val="fr-FR" w:eastAsia="fr-FR" w:bidi="fr-FR"/>
              </w:rPr>
            </w:r>
          </w:p>
        </w:tc>
      </w:tr>
      <w:tr>
        <w:tc>
          <w:tcPr>
            <w:tcW w:type="dxa" w:w="3402"/>
            <w:vAlign w:val="center"/>
          </w:tcPr>
          <w:p>
            <w:pPr>
              <w:spacing w:after="0"/>
            </w:pPr>
            <w:r>
              <w:rPr>
                <w:lang w:val="fr-FR" w:eastAsia="fr-FR" w:bidi="fr-FR"/>
              </w:rPr>
              <w:t>pertinence des situations professionnelles choisies</w:t>
            </w:r>
          </w:p>
        </w:tc>
        <w:tc>
          <w:tcPr>
            <w:tcW w:type="dxa" w:w="4762"/>
            <w:vAlign w:val="center"/>
          </w:tcPr>
          <w:p>
            <w:pPr>
              <w:spacing w:after="0"/>
            </w:pPr>
            <w:r>
              <w:rPr>
                <w:lang w:val="fr-FR" w:eastAsia="fr-FR" w:bidi="fr-FR"/>
              </w:rPr>
              <w:t>Éléments observables explicitables dans le support écrit et confirmables lors de l'entretien.</w:t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3855"/>
            <w:vAlign w:val="center"/>
          </w:tcPr>
          <w:p>
            <w:pPr>
              <w:spacing w:after="0"/>
            </w:pPr>
            <w:r>
              <w:rPr>
                <w:lang w:val="fr-FR" w:eastAsia="fr-FR" w:bidi="fr-FR"/>
              </w:rPr>
            </w:r>
          </w:p>
        </w:tc>
      </w:tr>
      <w:tr>
        <w:tc>
          <w:tcPr>
            <w:tcW w:type="dxa" w:w="3402"/>
            <w:vAlign w:val="center"/>
          </w:tcPr>
          <w:p>
            <w:pPr>
              <w:spacing w:after="0"/>
            </w:pPr>
            <w:r>
              <w:rPr>
                <w:lang w:val="fr-FR" w:eastAsia="fr-FR" w:bidi="fr-FR"/>
              </w:rPr>
              <w:t>mobilisation des techniques de commerce international selon la sous-epreuve</w:t>
            </w:r>
          </w:p>
        </w:tc>
        <w:tc>
          <w:tcPr>
            <w:tcW w:type="dxa" w:w="4762"/>
            <w:vAlign w:val="center"/>
          </w:tcPr>
          <w:p>
            <w:pPr>
              <w:spacing w:after="0"/>
            </w:pPr>
            <w:r>
              <w:rPr>
                <w:lang w:val="fr-FR" w:eastAsia="fr-FR" w:bidi="fr-FR"/>
              </w:rPr>
              <w:t>Les techniques, outils et méthodes mobilisés sont expliqués et justifiés avec exactitude.</w:t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3855"/>
            <w:vAlign w:val="center"/>
          </w:tcPr>
          <w:p>
            <w:pPr>
              <w:spacing w:after="0"/>
            </w:pPr>
            <w:r>
              <w:rPr>
                <w:lang w:val="fr-FR" w:eastAsia="fr-FR" w:bidi="fr-FR"/>
              </w:rPr>
            </w:r>
          </w:p>
        </w:tc>
      </w:tr>
      <w:tr>
        <w:tc>
          <w:tcPr>
            <w:tcW w:type="dxa" w:w="3402"/>
            <w:vAlign w:val="center"/>
          </w:tcPr>
          <w:p>
            <w:pPr>
              <w:spacing w:after="0"/>
            </w:pPr>
            <w:r>
              <w:rPr>
                <w:lang w:val="fr-FR" w:eastAsia="fr-FR" w:bidi="fr-FR"/>
              </w:rPr>
              <w:t>qualité de l'analysé commerciale, organisationnelle et interculturelle</w:t>
            </w:r>
          </w:p>
        </w:tc>
        <w:tc>
          <w:tcPr>
            <w:tcW w:type="dxa" w:w="4762"/>
            <w:vAlign w:val="center"/>
          </w:tcPr>
          <w:p>
            <w:pPr>
              <w:spacing w:after="0"/>
            </w:pPr>
            <w:r>
              <w:rPr>
                <w:lang w:val="fr-FR" w:eastAsia="fr-FR" w:bidi="fr-FR"/>
              </w:rPr>
              <w:t>La posture professionnelle, l'écoute et la pertinence du conseil sont observables.</w:t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3855"/>
            <w:vAlign w:val="center"/>
          </w:tcPr>
          <w:p>
            <w:pPr>
              <w:spacing w:after="0"/>
            </w:pPr>
            <w:r>
              <w:rPr>
                <w:lang w:val="fr-FR" w:eastAsia="fr-FR" w:bidi="fr-FR"/>
              </w:rPr>
            </w:r>
          </w:p>
        </w:tc>
      </w:tr>
      <w:tr>
        <w:tc>
          <w:tcPr>
            <w:tcW w:type="dxa" w:w="3402"/>
            <w:vAlign w:val="center"/>
          </w:tcPr>
          <w:p>
            <w:pPr>
              <w:spacing w:after="0"/>
            </w:pPr>
            <w:r>
              <w:rPr>
                <w:lang w:val="fr-FR" w:eastAsia="fr-FR" w:bidi="fr-FR"/>
              </w:rPr>
              <w:t>communication professionnelle en francais et en langue(s) étrangère(s)</w:t>
            </w:r>
          </w:p>
        </w:tc>
        <w:tc>
          <w:tcPr>
            <w:tcW w:type="dxa" w:w="4762"/>
            <w:vAlign w:val="center"/>
          </w:tcPr>
          <w:p>
            <w:pPr>
              <w:spacing w:after="0"/>
            </w:pPr>
            <w:r>
              <w:rPr>
                <w:lang w:val="fr-FR" w:eastAsia="fr-FR" w:bidi="fr-FR"/>
              </w:rPr>
              <w:t>Expression claire, structurée, argumentée et adaptée au questionnement du jury.</w:t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3855"/>
            <w:vAlign w:val="center"/>
          </w:tcPr>
          <w:p>
            <w:pPr>
              <w:spacing w:after="0"/>
            </w:pPr>
            <w:r>
              <w:rPr>
                <w:lang w:val="fr-FR" w:eastAsia="fr-FR" w:bidi="fr-FR"/>
              </w:rPr>
            </w:r>
          </w:p>
        </w:tc>
      </w:tr>
      <w:tr>
        <w:tc>
          <w:tcPr>
            <w:tcW w:type="dxa" w:w="3402"/>
            <w:vAlign w:val="center"/>
          </w:tcPr>
          <w:p>
            <w:pPr>
              <w:spacing w:after="0"/>
            </w:pPr>
            <w:r>
              <w:rPr>
                <w:lang w:val="fr-FR" w:eastAsia="fr-FR" w:bidi="fr-FR"/>
              </w:rPr>
              <w:t>usage pertinent des outils d'information</w:t>
            </w:r>
          </w:p>
        </w:tc>
        <w:tc>
          <w:tcPr>
            <w:tcW w:type="dxa" w:w="4762"/>
            <w:vAlign w:val="center"/>
          </w:tcPr>
          <w:p>
            <w:pPr>
              <w:spacing w:after="0"/>
            </w:pPr>
            <w:r>
              <w:rPr>
                <w:lang w:val="fr-FR" w:eastAsia="fr-FR" w:bidi="fr-FR"/>
              </w:rPr>
              <w:t>Les techniques, outils et méthodes mobilisés sont expliqués et justifiés avec exactitude.</w:t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3855"/>
            <w:vAlign w:val="center"/>
          </w:tcPr>
          <w:p>
            <w:pPr>
              <w:spacing w:after="0"/>
            </w:pPr>
            <w:r>
              <w:rPr>
                <w:lang w:val="fr-FR" w:eastAsia="fr-FR" w:bidi="fr-FR"/>
              </w:rPr>
            </w:r>
          </w:p>
        </w:tc>
      </w:tr>
      <w:tr>
        <w:tc>
          <w:tcPr>
            <w:tcW w:type="dxa" w:w="3402"/>
            <w:vAlign w:val="center"/>
          </w:tcPr>
          <w:p>
            <w:pPr>
              <w:spacing w:after="0"/>
            </w:pPr>
            <w:r>
              <w:rPr>
                <w:lang w:val="fr-FR" w:eastAsia="fr-FR" w:bidi="fr-FR"/>
              </w:rPr>
              <w:t>justification des choix et recul reflexif</w:t>
            </w:r>
          </w:p>
        </w:tc>
        <w:tc>
          <w:tcPr>
            <w:tcW w:type="dxa" w:w="4762"/>
            <w:vAlign w:val="center"/>
          </w:tcPr>
          <w:p>
            <w:pPr>
              <w:spacing w:after="0"/>
            </w:pPr>
            <w:r>
              <w:rPr>
                <w:lang w:val="fr-FR" w:eastAsia="fr-FR" w:bidi="fr-FR"/>
              </w:rPr>
              <w:t>Les choix, contraintes, résultats et éventuels écarts sont analysés avec recul professionnel.</w:t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3855"/>
            <w:vAlign w:val="center"/>
          </w:tcPr>
          <w:p>
            <w:pPr>
              <w:spacing w:after="0"/>
            </w:pPr>
            <w:r>
              <w:rPr>
                <w:lang w:val="fr-FR" w:eastAsia="fr-FR" w:bidi="fr-FR"/>
              </w:rPr>
            </w:r>
          </w:p>
        </w:tc>
      </w:tr>
      <w:tr>
        <w:tc>
          <w:tcPr>
            <w:tcW w:type="dxa" w:w="3402"/>
            <w:vAlign w:val="center"/>
          </w:tcPr>
          <w:p>
            <w:pPr>
              <w:spacing w:after="0"/>
            </w:pPr>
            <w:r>
              <w:rPr>
                <w:lang w:val="fr-FR" w:eastAsia="fr-FR" w:bidi="fr-FR"/>
              </w:rPr>
              <w:t>pertinence des situations professionnelles</w:t>
            </w:r>
          </w:p>
        </w:tc>
        <w:tc>
          <w:tcPr>
            <w:tcW w:type="dxa" w:w="4762"/>
            <w:vAlign w:val="center"/>
          </w:tcPr>
          <w:p>
            <w:pPr>
              <w:spacing w:after="0"/>
            </w:pPr>
            <w:r>
              <w:rPr>
                <w:lang w:val="fr-FR" w:eastAsia="fr-FR" w:bidi="fr-FR"/>
              </w:rPr>
              <w:t>Éléments observables explicitables dans le support écrit et confirmables lors de l'entretien.</w:t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3855"/>
            <w:vAlign w:val="center"/>
          </w:tcPr>
          <w:p>
            <w:pPr>
              <w:spacing w:after="0"/>
            </w:pPr>
            <w:r>
              <w:rPr>
                <w:lang w:val="fr-FR" w:eastAsia="fr-FR" w:bidi="fr-FR"/>
              </w:rPr>
            </w:r>
          </w:p>
        </w:tc>
      </w:tr>
      <w:tr>
        <w:tc>
          <w:tcPr>
            <w:tcW w:type="dxa" w:w="3402"/>
            <w:vAlign w:val="center"/>
          </w:tcPr>
          <w:p>
            <w:pPr>
              <w:spacing w:after="0"/>
            </w:pPr>
            <w:r>
              <w:rPr>
                <w:lang w:val="fr-FR" w:eastAsia="fr-FR" w:bidi="fr-FR"/>
              </w:rPr>
              <w:t>mobilisation des techniques de commerce international</w:t>
            </w:r>
          </w:p>
        </w:tc>
        <w:tc>
          <w:tcPr>
            <w:tcW w:type="dxa" w:w="4762"/>
            <w:vAlign w:val="center"/>
          </w:tcPr>
          <w:p>
            <w:pPr>
              <w:spacing w:after="0"/>
            </w:pPr>
            <w:r>
              <w:rPr>
                <w:lang w:val="fr-FR" w:eastAsia="fr-FR" w:bidi="fr-FR"/>
              </w:rPr>
              <w:t>Les techniques, outils et méthodes mobilisés sont expliqués et justifiés avec exactitude.</w:t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3855"/>
            <w:vAlign w:val="center"/>
          </w:tcPr>
          <w:p>
            <w:pPr>
              <w:spacing w:after="0"/>
            </w:pPr>
            <w:r>
              <w:rPr>
                <w:lang w:val="fr-FR" w:eastAsia="fr-FR" w:bidi="fr-FR"/>
              </w:rPr>
            </w:r>
          </w:p>
        </w:tc>
      </w:tr>
    </w:tbl>
    <w:p/>
    <w:p>
      <w:r>
        <w:rPr>
          <w:b/>
          <w:lang w:val="fr-FR" w:eastAsia="fr-FR" w:bidi="fr-FR"/>
        </w:rPr>
        <w:t>Appréciation synthétique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7126"/>
        <w:gridCol w:w="7126"/>
      </w:tblGrid>
      <w:tr>
        <w:tc>
          <w:tcPr>
            <w:tcW w:type="dxa" w:w="3402"/>
            <w:shd w:fill="D9EAF7"/>
          </w:tcPr>
          <w:p>
            <w:r>
              <w:rPr>
                <w:b/>
                <w:lang w:val="fr-FR" w:eastAsia="fr-FR" w:bidi="fr-FR"/>
              </w:rPr>
              <w:t>Points forts observés</w:t>
            </w:r>
          </w:p>
        </w:tc>
        <w:tc>
          <w:tcPr>
            <w:tcW w:type="dxa" w:w="10658"/>
          </w:tcPr>
          <w:p>
            <w:r>
              <w:rPr>
                <w:lang w:val="fr-FR" w:eastAsia="fr-FR" w:bidi="fr-FR"/>
              </w:rPr>
            </w:r>
          </w:p>
        </w:tc>
      </w:tr>
      <w:tr>
        <w:tc>
          <w:tcPr>
            <w:tcW w:type="dxa" w:w="3402"/>
            <w:shd w:fill="D9EAF7"/>
          </w:tcPr>
          <w:p>
            <w:r>
              <w:rPr>
                <w:b/>
                <w:lang w:val="fr-FR" w:eastAsia="fr-FR" w:bidi="fr-FR"/>
              </w:rPr>
              <w:t>Axes de progression / vigilance</w:t>
            </w:r>
          </w:p>
        </w:tc>
        <w:tc>
          <w:tcPr>
            <w:tcW w:type="dxa" w:w="10658"/>
          </w:tcPr>
          <w:p>
            <w:r>
              <w:rPr>
                <w:lang w:val="fr-FR" w:eastAsia="fr-FR" w:bidi="fr-FR"/>
              </w:rPr>
            </w:r>
          </w:p>
        </w:tc>
      </w:tr>
      <w:tr>
        <w:tc>
          <w:tcPr>
            <w:tcW w:type="dxa" w:w="3402"/>
            <w:shd w:fill="D9EAF7"/>
          </w:tcPr>
          <w:p>
            <w:r>
              <w:rPr>
                <w:b/>
              </w:rPr>
              <w:t>Note proposée</w:t>
            </w:r>
          </w:p>
        </w:tc>
        <w:tc>
          <w:tcPr>
            <w:tcW w:type="dxa" w:w="10658"/>
          </w:tcPr>
          <w:p>
            <w:r>
              <w:rPr>
                <w:lang w:val="fr-FR" w:eastAsia="fr-FR" w:bidi="fr-FR"/>
              </w:rPr>
            </w:r>
          </w:p>
        </w:tc>
      </w:tr>
    </w:tbl>
    <w:p/>
    <w:p>
      <w:r>
        <w:rPr>
          <w:lang w:val="fr-FR" w:eastAsia="fr-FR" w:bidi="fr-FR"/>
        </w:rPr>
        <w:t>Croisement entre la circulaire nationale 2017, le dossier professionnel global et la logique des blocs professionnels.</w:t>
      </w:r>
    </w:p>
    <w:p>
      <w:r>
        <w:rPr>
          <w:lang w:val="fr-FR" w:eastAsia="fr-FR" w:bidi="fr-FR"/>
        </w:rPr>
        <w:t>Les critères sont directement extraits de la circulaire nationale qui détaille l'épreuve E41/E42/E51/E52/E62 et les attentes concernant le dossier professionnel global du candidat.</w:t>
      </w:r>
    </w:p>
    <w:p>
      <w:r>
        <w:rPr>
          <w:sz w:val="17"/>
          <w:lang w:val="fr-FR" w:eastAsia="fr-FR" w:bidi="fr-FR"/>
        </w:rPr>
        <w:t>Grille publique : https://cache.media.education.gouv.fr/file/bts/73/9/Circulaire_nationale_BTS_CI_%2B_annexe_2017_725739.pdf</w:t>
      </w:r>
    </w:p>
    <w:sectPr w:rsidR="00FC693F" w:rsidRPr="0006063C" w:rsidSect="00034616">
      <w:pgSz w:w="15840" w:h="12240" w:orient="landscape"/>
      <w:pgMar w:top="737" w:right="794" w:bottom="737" w:left="79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Aptos" w:hAnsi="Aptos"/>
      <w:sz w:val="20"/>
      <w:lang w:val="fr-FR" w:eastAsia="fr-FR" w:bidi="fr-FR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