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Maintenance des materiels de construction et de manutention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Contribution au fonctionnement d'un service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Maintenance des materiels de construction et de manutention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Contribution au fonctionnement d'un service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Contribution au fonctionnement d'un service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(Ponctuelle orale 30 min de présentation + 20 min d'échanges / CCF selon statut)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 la prise en compte des besoins utilisateurs, clients ou du service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sz w:val="17"/>
          <w:lang w:val="fr-FR" w:eastAsia="fr-FR" w:bidi="fr-FR"/>
        </w:rPr>
        <w:t>Source support : https://www.legifrance.gouv.fr/loda/id/LEGITEXT000034138719/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