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Services informatiques aux organisations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Dossier E6 et portefeuille de competences professionnelles | Modalité : Mixte selon voie | Option : Options SISR et SLAM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Services informatiques aux organisations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Options SISR et SLAM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Dossier E6 et portefeuille de competences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 Parcours de professionnalisation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voie, selon le statut du candidat et de l'établissement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Conformité et exploitabilité du dossier ou du portefeuille de competences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selection pertinente des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mise en relation explicite des activités avec les competences SISR ou SLAM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l'analysé technique et du recul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 et réponse aux questions du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https://cache.media.education.gouv.fr/file/circulaires_2015/80/4/Extrait_circulaire_BTS_SIO_2015_401804.pdf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