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Techniques et services en materiels agricoles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de stage / rapport d'activités | Modalité : Ponctuelle</w:t>
      </w:r>
    </w:p>
    <w:p>
      <w:pPr>
        <w:jc w:val="center"/>
      </w:pPr>
      <w:r>
        <w:rPr>
          <w:b/>
          <w:color w:val="4F81BD"/>
          <w:lang w:val="fr-FR" w:eastAsia="fr-FR" w:bidi="fr-FR"/>
        </w:rPr>
        <w:t>Fiche inspirée d'une grille publique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Techniques et services en materiels agricoles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de stage / rapport d'activités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U61|U62 | U61 / E61 Activités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documentée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et conformité du rapport/support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explicitation du contexte entreprise et de la mission en maintenance et services en materiels agricoles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des activités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en compte de la qualité, de la sécurité, des procedures et des contraintes de couts/delais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exigences de qualité, sécurité, réglementation et traçabilité sont prises en compte.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soutenance et capacite de justification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de recul sur l'experience. Accent probable sur l'analysé d'activités en milieu professionnel, la rigueur de méthode, la sécurité, la qualité du service et la communication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et conformité du rapport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Démarches de recherche efficientes et informations pertinentes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conditions de fonctionnement/dysfonctionnement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Présentation lisible, structurée et adaptée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en compte des défauts et information client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La posture professionnelle, l'écoute et la pertinence du conseil sont observables.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Identification et gestion des risques professionnels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environnementales, d'hygiène et de sécurité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Croisement entre l'épreuve E61 activités en milieu professionnel, le BO 2013 et le référentiel TSMA.</w:t>
      </w:r>
    </w:p>
    <w:p>
      <w:r>
        <w:rPr>
          <w:lang w:val="fr-FR" w:eastAsia="fr-FR" w:bidi="fr-FR"/>
        </w:rPr>
        <w:t>Les critères sont directement issus d'une grille d'évaluation de l'unité U61 - Activités en milieu professionnel (rapport de stage) pour le BTS Techniques et Services en Matériels Agricoles.</w:t>
      </w:r>
    </w:p>
    <w:p>
      <w:r>
        <w:rPr>
          <w:sz w:val="17"/>
          <w:lang w:val="fr-FR" w:eastAsia="fr-FR" w:bidi="fr-FR"/>
        </w:rPr>
        <w:t>Définition / modalités : https://www.education.gouv.fr/node/276968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