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Fiche d'évaluation - BTS Traitements des materiaux</w:t>
      </w:r>
    </w:p>
    <w:p>
      <w:pPr>
        <w:jc w:val="center"/>
      </w:pPr>
      <w:r>
        <w:rPr>
          <w:i/>
          <w:sz w:val="21"/>
          <w:lang w:val="fr-FR" w:eastAsia="fr-FR" w:bidi="fr-FR"/>
        </w:rPr>
        <w:t>Support évalué : Rapport de stage / rapport d'activités | Modalité : À confirmer | Option : Options À et B</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lang w:val="fr-FR" w:eastAsia="fr-FR" w:bidi="fr-FR"/>
              </w:rPr>
              <w:t>BTS</w:t>
            </w:r>
          </w:p>
        </w:tc>
        <w:tc>
          <w:tcPr>
            <w:tcW w:type="dxa" w:w="4535"/>
            <w:vAlign w:val="center"/>
          </w:tcPr>
          <w:p>
            <w:r>
              <w:rPr>
                <w:lang w:val="fr-FR" w:eastAsia="fr-FR" w:bidi="fr-FR"/>
              </w:rPr>
              <w:t>BTS Traitements des materiaux</w:t>
            </w:r>
          </w:p>
        </w:tc>
        <w:tc>
          <w:tcPr>
            <w:tcW w:type="dxa" w:w="1814"/>
            <w:vAlign w:val="center"/>
            <w:shd w:fill="D9EAF7"/>
          </w:tcPr>
          <w:p>
            <w:r>
              <w:rPr>
                <w:b/>
              </w:rPr>
              <w:t>Modalité d'évaluation</w:t>
            </w:r>
          </w:p>
        </w:tc>
        <w:tc>
          <w:tcPr>
            <w:tcW w:type="dxa" w:w="6009"/>
            <w:vAlign w:val="center"/>
          </w:tcPr>
          <w:p>
            <w:r>
              <w:rPr>
                <w:lang w:val="fr-FR" w:eastAsia="fr-FR" w:bidi="fr-FR"/>
              </w:rPr>
              <w:t>À confirmer</w:t>
            </w:r>
          </w:p>
        </w:tc>
      </w:tr>
      <w:tr>
        <w:tc>
          <w:tcPr>
            <w:tcW w:type="dxa" w:w="1814"/>
            <w:vAlign w:val="center"/>
            <w:shd w:fill="D9EAF7"/>
          </w:tcPr>
          <w:p>
            <w:r>
              <w:rPr>
                <w:b/>
                <w:lang w:val="fr-FR" w:eastAsia="fr-FR" w:bidi="fr-FR"/>
              </w:rPr>
              <w:t>Option</w:t>
            </w:r>
          </w:p>
        </w:tc>
        <w:tc>
          <w:tcPr>
            <w:tcW w:type="dxa" w:w="4535"/>
            <w:vAlign w:val="center"/>
          </w:tcPr>
          <w:p>
            <w:r>
              <w:rPr>
                <w:lang w:val="fr-FR" w:eastAsia="fr-FR" w:bidi="fr-FR"/>
              </w:rPr>
              <w:t>Options À et B</w:t>
            </w:r>
          </w:p>
        </w:tc>
        <w:tc>
          <w:tcPr>
            <w:tcW w:type="dxa" w:w="1814"/>
            <w:vAlign w:val="center"/>
            <w:shd w:fill="D9EAF7"/>
          </w:tcPr>
          <w:p>
            <w:r>
              <w:rPr>
                <w:b w:val="0"/>
              </w:rPr>
            </w:r>
          </w:p>
        </w:tc>
        <w:tc>
          <w:tcPr>
            <w:tcW w:type="dxa" w:w="6009"/>
            <w:vAlign w:val="center"/>
          </w:tcPr>
          <w:p>
            <w:r>
              <w:rPr>
                <w:b w:val="0"/>
              </w:rPr>
            </w:r>
          </w:p>
        </w:tc>
      </w:tr>
      <w:tr>
        <w:tc>
          <w:tcPr>
            <w:tcW w:type="dxa" w:w="1814"/>
            <w:vAlign w:val="center"/>
            <w:shd w:fill="D9EAF7"/>
          </w:tcPr>
          <w:p>
            <w:r>
              <w:rPr>
                <w:b/>
                <w:lang w:val="fr-FR" w:eastAsia="fr-FR" w:bidi="fr-FR"/>
              </w:rPr>
              <w:t>Support</w:t>
            </w:r>
          </w:p>
        </w:tc>
        <w:tc>
          <w:tcPr>
            <w:tcW w:type="dxa" w:w="4535"/>
            <w:vAlign w:val="center"/>
          </w:tcPr>
          <w:p>
            <w:r>
              <w:rPr>
                <w:lang w:val="fr-FR" w:eastAsia="fr-FR" w:bidi="fr-FR"/>
              </w:rPr>
              <w:t>Rapport de stage / rapport d'activités</w:t>
            </w:r>
          </w:p>
        </w:tc>
        <w:tc>
          <w:tcPr>
            <w:tcW w:type="dxa" w:w="1814"/>
            <w:vAlign w:val="center"/>
            <w:shd w:fill="D9EAF7"/>
          </w:tcPr>
          <w:p>
            <w:r>
              <w:rPr>
                <w:b/>
                <w:lang w:val="fr-FR" w:eastAsia="fr-FR" w:bidi="fr-FR"/>
              </w:rPr>
              <w:t>Épreuve</w:t>
            </w:r>
          </w:p>
        </w:tc>
        <w:tc>
          <w:tcPr>
            <w:tcW w:type="dxa" w:w="6009"/>
            <w:vAlign w:val="center"/>
          </w:tcPr>
          <w:p>
            <w:r>
              <w:rPr>
                <w:lang w:val="fr-FR" w:eastAsia="fr-FR" w:bidi="fr-FR"/>
              </w:rPr>
              <w:t>U61|U62 | U6.2 / E62 Rapport de stage en milieu professionnel</w:t>
            </w:r>
          </w:p>
        </w:tc>
      </w:tr>
      <w:tr>
        <w:tc>
          <w:tcPr>
            <w:tcW w:type="dxa" w:w="1814"/>
            <w:vAlign w:val="center"/>
            <w:shd w:fill="D9EAF7"/>
          </w:tcPr>
          <w:p>
            <w:r>
              <w:rPr>
                <w:b/>
                <w:lang w:val="fr-FR" w:eastAsia="fr-FR" w:bidi="fr-FR"/>
              </w:rPr>
              <w:t>Voies / modalités</w:t>
            </w:r>
          </w:p>
        </w:tc>
        <w:tc>
          <w:tcPr>
            <w:tcW w:type="dxa" w:w="4535"/>
            <w:vAlign w:val="center"/>
          </w:tcPr>
          <w:p>
            <w:r>
              <w:rPr>
                <w:lang w:val="fr-FR" w:eastAsia="fr-FR" w:bidi="fr-FR"/>
              </w:rPr>
              <w:t>CCF confirmé</w:t>
            </w:r>
          </w:p>
        </w:tc>
        <w:tc>
          <w:tcPr>
            <w:tcW w:type="dxa" w:w="1814"/>
            <w:vAlign w:val="center"/>
            <w:shd w:fill="D9EAF7"/>
          </w:tcPr>
          <w:p>
            <w:r>
              <w:rPr>
                <w:b w:val="0"/>
              </w:rPr>
            </w:r>
          </w:p>
        </w:tc>
        <w:tc>
          <w:tcPr>
            <w:tcW w:type="dxa" w:w="6009"/>
            <w:vAlign w:val="center"/>
          </w:tcPr>
          <w:p>
            <w:r>
              <w:rPr>
                <w:b w:val="0"/>
              </w:rPr>
            </w:r>
          </w:p>
        </w:tc>
      </w:tr>
    </w:tbl>
    <w:p/>
    <w:p>
      <w:r>
        <w:rPr>
          <w:b/>
          <w:lang w:val="fr-FR" w:eastAsia="fr-FR" w:bidi="fr-FR"/>
        </w:rPr>
        <w:t>Échelle de positionnement conseillée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lang w:val="fr-FR" w:eastAsia="fr-FR" w:bidi="fr-FR"/>
              </w:rPr>
              <w:t>NA</w:t>
            </w:r>
          </w:p>
        </w:tc>
        <w:tc>
          <w:tcPr>
            <w:tcW w:type="dxa" w:w="3563"/>
            <w:shd w:fill="D9EAF7"/>
          </w:tcPr>
          <w:p>
            <w:r>
              <w:rPr>
                <w:b/>
                <w:lang w:val="fr-FR" w:eastAsia="fr-FR" w:bidi="fr-FR"/>
              </w:rPr>
              <w:t>PA</w:t>
            </w:r>
          </w:p>
        </w:tc>
        <w:tc>
          <w:tcPr>
            <w:tcW w:type="dxa" w:w="3563"/>
            <w:shd w:fill="D9EAF7"/>
          </w:tcPr>
          <w:p>
            <w:r>
              <w:rPr>
                <w:b/>
                <w:lang w:val="fr-FR" w:eastAsia="fr-FR" w:bidi="fr-FR"/>
              </w:rPr>
              <w:t>A</w:t>
            </w:r>
          </w:p>
        </w:tc>
        <w:tc>
          <w:tcPr>
            <w:tcW w:type="dxa" w:w="3563"/>
            <w:shd w:fill="D9EAF7"/>
          </w:tcPr>
          <w:p>
            <w:r>
              <w:rPr>
                <w:b/>
                <w:lang w:val="fr-FR" w:eastAsia="fr-FR" w:bidi="fr-FR"/>
              </w:rPr>
              <w:t>TB</w:t>
            </w:r>
          </w:p>
        </w:tc>
      </w:tr>
      <w:tr>
        <w:tc>
          <w:tcPr>
            <w:tcW w:type="dxa" w:w="3563"/>
          </w:tcPr>
          <w:p>
            <w:r>
              <w:rPr>
                <w:lang w:val="fr-FR" w:eastAsia="fr-FR" w:bidi="fr-FR"/>
              </w:rPr>
              <w:t>Non observable / non acquis</w:t>
            </w:r>
          </w:p>
        </w:tc>
        <w:tc>
          <w:tcPr>
            <w:tcW w:type="dxa" w:w="3563"/>
          </w:tcPr>
          <w:p>
            <w:r>
              <w:rPr>
                <w:lang w:val="fr-FR" w:eastAsia="fr-FR" w:bidi="fr-FR"/>
              </w:rPr>
              <w:t>Partiellement acquis</w:t>
            </w:r>
          </w:p>
        </w:tc>
        <w:tc>
          <w:tcPr>
            <w:tcW w:type="dxa" w:w="3563"/>
          </w:tcPr>
          <w:p>
            <w:r>
              <w:rPr>
                <w:lang w:val="fr-FR" w:eastAsia="fr-FR" w:bidi="fr-FR"/>
              </w:rPr>
              <w:t>Acquis</w:t>
            </w:r>
          </w:p>
        </w:tc>
        <w:tc>
          <w:tcPr>
            <w:tcW w:type="dxa" w:w="3563"/>
          </w:tcPr>
          <w:p>
            <w:r>
              <w:rPr>
                <w:lang w:val="fr-FR" w:eastAsia="fr-FR" w:bidi="fr-FR"/>
              </w:rPr>
              <w:t>Très bien acquis</w:t>
            </w:r>
          </w:p>
        </w:tc>
      </w:tr>
    </w:tbl>
    <w:p/>
    <w:p>
      <w:r>
        <w:rPr>
          <w:b/>
          <w:lang w:val="fr-FR" w:eastAsia="fr-FR" w:bidi="fr-FR"/>
        </w:rPr>
        <w:t>Grille d'évaluation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lang w:val="fr-FR" w:eastAsia="fr-FR" w:bidi="fr-FR"/>
              </w:rPr>
              <w:t>Critère évalué</w:t>
            </w:r>
          </w:p>
        </w:tc>
        <w:tc>
          <w:tcPr>
            <w:tcW w:type="dxa" w:w="4762"/>
            <w:vAlign w:val="center"/>
            <w:shd w:fill="D9EAF7"/>
          </w:tcPr>
          <w:p>
            <w:pPr>
              <w:jc w:val="center"/>
            </w:pPr>
            <w:r>
              <w:rPr>
                <w:b/>
                <w:sz w:val="19"/>
                <w:lang w:val="fr-FR" w:eastAsia="fr-FR" w:bidi="fr-FR"/>
              </w:rPr>
              <w:t>Indicateurs observables / questions d'appui</w:t>
            </w:r>
          </w:p>
        </w:tc>
        <w:tc>
          <w:tcPr>
            <w:tcW w:type="dxa" w:w="510"/>
            <w:vAlign w:val="center"/>
            <w:shd w:fill="D9EAF7"/>
          </w:tcPr>
          <w:p>
            <w:pPr>
              <w:jc w:val="center"/>
            </w:pPr>
            <w:r>
              <w:rPr>
                <w:b/>
                <w:sz w:val="19"/>
                <w:lang w:val="fr-FR" w:eastAsia="fr-FR" w:bidi="fr-FR"/>
              </w:rPr>
              <w:t>NA</w:t>
            </w:r>
          </w:p>
        </w:tc>
        <w:tc>
          <w:tcPr>
            <w:tcW w:type="dxa" w:w="510"/>
            <w:vAlign w:val="center"/>
            <w:shd w:fill="D9EAF7"/>
          </w:tcPr>
          <w:p>
            <w:pPr>
              <w:jc w:val="center"/>
            </w:pPr>
            <w:r>
              <w:rPr>
                <w:b/>
                <w:sz w:val="19"/>
                <w:lang w:val="fr-FR" w:eastAsia="fr-FR" w:bidi="fr-FR"/>
              </w:rPr>
              <w:t>PA</w:t>
            </w:r>
          </w:p>
        </w:tc>
        <w:tc>
          <w:tcPr>
            <w:tcW w:type="dxa" w:w="510"/>
            <w:vAlign w:val="center"/>
            <w:shd w:fill="D9EAF7"/>
          </w:tcPr>
          <w:p>
            <w:pPr>
              <w:jc w:val="center"/>
            </w:pPr>
            <w:r>
              <w:rPr>
                <w:b/>
                <w:sz w:val="19"/>
                <w:lang w:val="fr-FR" w:eastAsia="fr-FR" w:bidi="fr-FR"/>
              </w:rPr>
              <w:t>A</w:t>
            </w:r>
          </w:p>
        </w:tc>
        <w:tc>
          <w:tcPr>
            <w:tcW w:type="dxa" w:w="510"/>
            <w:vAlign w:val="center"/>
            <w:shd w:fill="D9EAF7"/>
          </w:tcPr>
          <w:p>
            <w:pPr>
              <w:jc w:val="center"/>
            </w:pPr>
            <w:r>
              <w:rPr>
                <w:b/>
                <w:sz w:val="19"/>
                <w:lang w:val="fr-FR" w:eastAsia="fr-FR" w:bidi="fr-FR"/>
              </w:rPr>
              <w:t>TB</w:t>
            </w:r>
          </w:p>
        </w:tc>
        <w:tc>
          <w:tcPr>
            <w:tcW w:type="dxa" w:w="3855"/>
            <w:vAlign w:val="center"/>
            <w:shd w:fill="D9EAF7"/>
          </w:tcPr>
          <w:p>
            <w:pPr>
              <w:jc w:val="center"/>
            </w:pPr>
            <w:r>
              <w:rPr>
                <w:b/>
                <w:sz w:val="19"/>
                <w:lang w:val="fr-FR" w:eastAsia="fr-FR" w:bidi="fr-FR"/>
              </w:rPr>
              <w:t>Observations</w:t>
            </w:r>
          </w:p>
        </w:tc>
      </w:tr>
      <w:tr>
        <w:tc>
          <w:tcPr>
            <w:tcW w:type="dxa" w:w="3402"/>
            <w:vAlign w:val="center"/>
          </w:tcPr>
          <w:p>
            <w:pPr>
              <w:spacing w:after="0"/>
            </w:pPr>
            <w:r>
              <w:rPr>
                <w:lang w:val="fr-FR" w:eastAsia="fr-FR" w:bidi="fr-FR"/>
              </w:rPr>
              <w:t>Qualité et conformité du rapport/support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 en traitements des materiaux</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et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de la sécurité, des procedures et des contraintes de couts/delais</w:t>
            </w:r>
          </w:p>
        </w:tc>
        <w:tc>
          <w:tcPr>
            <w:tcW w:type="dxa" w:w="4762"/>
            <w:vAlign w:val="center"/>
          </w:tcPr>
          <w:p>
            <w:pPr>
              <w:spacing w:after="0"/>
            </w:pPr>
            <w:r>
              <w:rPr>
                <w:lang w:val="fr-FR" w:eastAsia="fr-FR" w:bidi="fr-FR"/>
              </w:rPr>
              <w:t>Les exigences de qualité, sécurité, réglementation et traçabilité sont prises en compte.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capacite de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l'experience. Accent probable sur la maîtrise des procédés, l'analysé des paramêtres, la qualité obtenue, la sécurité et l'interpretation des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Capacité à répondre avec argumentation aux questions professionnelles (stage, économie, gestion)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rigueur de la démarche</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valeur technique des solutions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rigueur et qualité des travaux présentés</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l'exposé oral et des réponses. Le rapport de stage est évalué lors d'une situation d'évaluation en CCF</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bl>
    <w:p/>
    <w:p>
      <w:r>
        <w:rPr>
          <w:b/>
          <w:lang w:val="fr-FR" w:eastAsia="fr-FR" w:bidi="fr-FR"/>
        </w:rPr>
        <w:t>Appréciation synthétique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lang w:val="fr-FR" w:eastAsia="fr-FR" w:bidi="fr-FR"/>
              </w:rPr>
              <w:t>Points forts observés</w:t>
            </w:r>
          </w:p>
        </w:tc>
        <w:tc>
          <w:tcPr>
            <w:tcW w:type="dxa" w:w="10658"/>
          </w:tcPr>
          <w:p>
            <w:r>
              <w:rPr>
                <w:lang w:val="fr-FR" w:eastAsia="fr-FR" w:bidi="fr-FR"/>
              </w:rPr>
            </w:r>
          </w:p>
        </w:tc>
      </w:tr>
      <w:tr>
        <w:tc>
          <w:tcPr>
            <w:tcW w:type="dxa" w:w="3402"/>
            <w:shd w:fill="D9EAF7"/>
          </w:tcPr>
          <w:p>
            <w:r>
              <w:rPr>
                <w:b/>
                <w:lang w:val="fr-FR" w:eastAsia="fr-FR" w:bidi="fr-FR"/>
              </w:rPr>
              <w:t>Axes de progression / vigilance</w:t>
            </w:r>
          </w:p>
        </w:tc>
        <w:tc>
          <w:tcPr>
            <w:tcW w:type="dxa" w:w="10658"/>
          </w:tcPr>
          <w:p>
            <w:r>
              <w:rPr>
                <w:lang w:val="fr-FR" w:eastAsia="fr-FR" w:bidi="fr-FR"/>
              </w:rPr>
            </w:r>
          </w:p>
        </w:tc>
      </w:tr>
      <w:tr>
        <w:tc>
          <w:tcPr>
            <w:tcW w:type="dxa" w:w="3402"/>
            <w:shd w:fill="D9EAF7"/>
          </w:tcPr>
          <w:p>
            <w:r>
              <w:rPr>
                <w:b/>
              </w:rPr>
              <w:t>Note proposée</w:t>
            </w:r>
          </w:p>
        </w:tc>
        <w:tc>
          <w:tcPr>
            <w:tcW w:type="dxa" w:w="10658"/>
          </w:tcPr>
          <w:p>
            <w:r>
              <w:rPr>
                <w:lang w:val="fr-FR" w:eastAsia="fr-FR" w:bidi="fr-FR"/>
              </w:rPr>
            </w:r>
          </w:p>
        </w:tc>
      </w:tr>
    </w:tbl>
    <w:p/>
    <w:p>
      <w:r>
        <w:rPr>
          <w:lang w:val="fr-FR" w:eastAsia="fr-FR" w:bidi="fr-FR"/>
        </w:rPr>
        <w:t>Croisement entre le rapport de stage en milieu professionnel, le reglement d'examen et les competences de procede.</w:t>
      </w:r>
    </w:p>
    <w:p>
      <w:r>
        <w:rPr>
          <w:lang w:val="fr-FR" w:eastAsia="fr-FR" w:bidi="fr-FR"/>
        </w:rPr>
        <w:t>Le Bulletin Officiel de l'Éducation Nationale pour le BTS Traitements des Matériaux (Arrêté du 5 août 2001 modifié) détaille explicitement les critères d'évaluation pour l'épreuve U6.2 / E62 Rapport de stage en milieu professionnel. Ces critères incluent la capacité à argumenter, la rigueur de la démarche, la valeur technique, la qualité des travaux et de la communication orale. L'évaluation se fait en CCF sur la base d'une situation d'évaluation et du rapport de stage.</w:t>
      </w:r>
    </w:p>
    <w:p>
      <w:r>
        <w:rPr>
          <w:sz w:val="17"/>
          <w:lang w:val="fr-FR" w:eastAsia="fr-FR" w:bidi="fr-FR"/>
        </w:rPr>
        <w:t>Source support : https://www.education.gouv.fr/bo/20/Hebdo38/ESRS2019793A.htm</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